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C57" w:rsidRDefault="00B12C57">
      <w:pPr>
        <w:pStyle w:val="a3"/>
        <w:spacing w:before="76" w:line="232" w:lineRule="auto"/>
        <w:ind w:left="216" w:right="221"/>
        <w:jc w:val="both"/>
      </w:pPr>
    </w:p>
    <w:p w:rsidR="00B12C57" w:rsidRDefault="00B12C57">
      <w:pPr>
        <w:pStyle w:val="a3"/>
        <w:spacing w:before="76" w:line="232" w:lineRule="auto"/>
        <w:ind w:left="216" w:right="221"/>
        <w:jc w:val="both"/>
      </w:pPr>
    </w:p>
    <w:p w:rsidR="00B12C57" w:rsidRPr="00F0599A" w:rsidRDefault="00B12C57" w:rsidP="00CF2ECD">
      <w:pPr>
        <w:ind w:right="309"/>
        <w:jc w:val="both"/>
        <w:rPr>
          <w:b/>
          <w:sz w:val="18"/>
          <w:szCs w:val="18"/>
        </w:rPr>
      </w:pPr>
      <w:r w:rsidRPr="00F0599A">
        <w:rPr>
          <w:b/>
          <w:sz w:val="18"/>
          <w:szCs w:val="18"/>
        </w:rPr>
        <w:t xml:space="preserve">Повідомлення про проведення </w:t>
      </w:r>
      <w:r>
        <w:rPr>
          <w:b/>
          <w:sz w:val="18"/>
          <w:szCs w:val="18"/>
        </w:rPr>
        <w:t xml:space="preserve">позачергових </w:t>
      </w:r>
      <w:r w:rsidRPr="00F0599A">
        <w:rPr>
          <w:b/>
          <w:sz w:val="18"/>
          <w:szCs w:val="18"/>
        </w:rPr>
        <w:t xml:space="preserve">загальних зборів акціонерів АКЦІОНЕРНОГО  ТОВАРИСТВА „КРЕДИТ ЄВРОПА БАНК”, код ЄДРПОУ 34576883 </w:t>
      </w:r>
      <w:r w:rsidRPr="00F0599A">
        <w:rPr>
          <w:sz w:val="18"/>
          <w:szCs w:val="18"/>
        </w:rPr>
        <w:t xml:space="preserve">(надалі – </w:t>
      </w:r>
      <w:r w:rsidRPr="005B061B">
        <w:rPr>
          <w:b/>
          <w:sz w:val="18"/>
          <w:szCs w:val="18"/>
        </w:rPr>
        <w:t>Банк</w:t>
      </w:r>
      <w:r w:rsidRPr="00F0599A">
        <w:rPr>
          <w:sz w:val="18"/>
          <w:szCs w:val="18"/>
        </w:rPr>
        <w:t>).</w:t>
      </w:r>
      <w:r w:rsidRPr="00F0599A">
        <w:rPr>
          <w:b/>
          <w:sz w:val="18"/>
          <w:szCs w:val="18"/>
        </w:rPr>
        <w:t xml:space="preserve"> </w:t>
      </w:r>
    </w:p>
    <w:p w:rsidR="00B12C57" w:rsidRDefault="00B12C57" w:rsidP="00CF2ECD">
      <w:pPr>
        <w:ind w:right="309"/>
        <w:jc w:val="both"/>
        <w:rPr>
          <w:b/>
          <w:sz w:val="18"/>
          <w:szCs w:val="18"/>
        </w:rPr>
      </w:pPr>
      <w:r w:rsidRPr="00F0599A">
        <w:rPr>
          <w:b/>
          <w:sz w:val="18"/>
          <w:szCs w:val="18"/>
        </w:rPr>
        <w:t xml:space="preserve">1. Повне найменування та місцезнаходження Банку: АКЦІОНЕРНЕ  ТОВАРИСТВО „КРЕДИТ ЄВРОПА БАНК”, місцезнаходження: </w:t>
      </w:r>
      <w:r w:rsidR="007F0707">
        <w:rPr>
          <w:b/>
          <w:sz w:val="18"/>
          <w:szCs w:val="18"/>
        </w:rPr>
        <w:t>вул</w:t>
      </w:r>
      <w:r w:rsidR="00A41DE5">
        <w:rPr>
          <w:b/>
          <w:sz w:val="18"/>
          <w:szCs w:val="18"/>
        </w:rPr>
        <w:t>.</w:t>
      </w:r>
      <w:r w:rsidR="007F0707">
        <w:rPr>
          <w:b/>
          <w:sz w:val="18"/>
          <w:szCs w:val="18"/>
        </w:rPr>
        <w:t xml:space="preserve"> Шовковична, 42-44, м. Київ, 01024, БЦ «Горизонт», 4 поверх.</w:t>
      </w:r>
    </w:p>
    <w:p w:rsidR="00B12C57" w:rsidRPr="00F0599A" w:rsidRDefault="00B12C57" w:rsidP="00CF2ECD">
      <w:pPr>
        <w:ind w:right="309"/>
        <w:jc w:val="both"/>
        <w:rPr>
          <w:b/>
          <w:sz w:val="18"/>
          <w:szCs w:val="18"/>
        </w:rPr>
      </w:pPr>
      <w:r w:rsidRPr="00F0599A">
        <w:rPr>
          <w:b/>
          <w:sz w:val="18"/>
          <w:szCs w:val="18"/>
        </w:rPr>
        <w:t xml:space="preserve">2. Дата, час та місце проведення загальних зборів: </w:t>
      </w:r>
      <w:r w:rsidR="00A41DE5">
        <w:rPr>
          <w:b/>
          <w:sz w:val="18"/>
          <w:szCs w:val="18"/>
        </w:rPr>
        <w:t>1</w:t>
      </w:r>
      <w:r w:rsidR="00A33612">
        <w:rPr>
          <w:b/>
          <w:sz w:val="18"/>
          <w:szCs w:val="18"/>
        </w:rPr>
        <w:t>4 березня</w:t>
      </w:r>
      <w:r>
        <w:rPr>
          <w:sz w:val="18"/>
          <w:szCs w:val="18"/>
        </w:rPr>
        <w:t xml:space="preserve"> </w:t>
      </w:r>
      <w:r w:rsidRPr="00A41DE5">
        <w:rPr>
          <w:b/>
          <w:sz w:val="18"/>
          <w:szCs w:val="18"/>
        </w:rPr>
        <w:t>2022 року</w:t>
      </w:r>
      <w:r w:rsidRPr="00F0599A">
        <w:rPr>
          <w:sz w:val="18"/>
          <w:szCs w:val="18"/>
        </w:rPr>
        <w:t xml:space="preserve"> </w:t>
      </w:r>
      <w:r w:rsidRPr="00A41DE5">
        <w:rPr>
          <w:b/>
          <w:sz w:val="18"/>
          <w:szCs w:val="18"/>
        </w:rPr>
        <w:t xml:space="preserve">о </w:t>
      </w:r>
      <w:r w:rsidR="00A33612">
        <w:rPr>
          <w:b/>
          <w:sz w:val="18"/>
          <w:szCs w:val="18"/>
        </w:rPr>
        <w:t xml:space="preserve"> 10.00</w:t>
      </w:r>
      <w:r w:rsidRPr="00F0599A">
        <w:rPr>
          <w:sz w:val="18"/>
          <w:szCs w:val="18"/>
        </w:rPr>
        <w:t xml:space="preserve">  </w:t>
      </w:r>
      <w:r w:rsidRPr="00A810CC">
        <w:rPr>
          <w:sz w:val="18"/>
          <w:szCs w:val="18"/>
        </w:rPr>
        <w:t xml:space="preserve">місцевого часу </w:t>
      </w:r>
      <w:r w:rsidR="00A41DE5">
        <w:rPr>
          <w:sz w:val="18"/>
          <w:szCs w:val="18"/>
        </w:rPr>
        <w:t>Нідерландів</w:t>
      </w:r>
      <w:r w:rsidRPr="00A810CC">
        <w:rPr>
          <w:sz w:val="18"/>
          <w:szCs w:val="18"/>
        </w:rPr>
        <w:t xml:space="preserve"> за адресою: </w:t>
      </w:r>
      <w:r w:rsidR="00A41DE5" w:rsidRPr="00A41DE5">
        <w:rPr>
          <w:b/>
          <w:sz w:val="18"/>
          <w:szCs w:val="18"/>
        </w:rPr>
        <w:t xml:space="preserve">Нідерланди, м. Амстердам, 1101 СіДжей, Карспелдрееф 6а, борд </w:t>
      </w:r>
      <w:proofErr w:type="spellStart"/>
      <w:r w:rsidR="00A41DE5" w:rsidRPr="00A41DE5">
        <w:rPr>
          <w:b/>
          <w:sz w:val="18"/>
          <w:szCs w:val="18"/>
        </w:rPr>
        <w:t>мітінг</w:t>
      </w:r>
      <w:proofErr w:type="spellEnd"/>
      <w:r w:rsidR="00A41DE5" w:rsidRPr="00A41DE5">
        <w:rPr>
          <w:b/>
          <w:sz w:val="18"/>
          <w:szCs w:val="18"/>
        </w:rPr>
        <w:t xml:space="preserve"> </w:t>
      </w:r>
      <w:proofErr w:type="spellStart"/>
      <w:r w:rsidR="00A41DE5" w:rsidRPr="00A41DE5">
        <w:rPr>
          <w:b/>
          <w:sz w:val="18"/>
          <w:szCs w:val="18"/>
        </w:rPr>
        <w:t>рум</w:t>
      </w:r>
      <w:proofErr w:type="spellEnd"/>
      <w:r w:rsidR="00A41DE5" w:rsidRPr="00A41DE5">
        <w:rPr>
          <w:b/>
          <w:sz w:val="18"/>
          <w:szCs w:val="18"/>
        </w:rPr>
        <w:t>.</w:t>
      </w:r>
      <w:r w:rsidRPr="00F0599A">
        <w:rPr>
          <w:b/>
          <w:sz w:val="18"/>
          <w:szCs w:val="18"/>
        </w:rPr>
        <w:t xml:space="preserve">  </w:t>
      </w:r>
    </w:p>
    <w:p w:rsidR="00B12C57" w:rsidRPr="00F0599A" w:rsidRDefault="00B12C57" w:rsidP="00CF2ECD">
      <w:pPr>
        <w:ind w:right="309"/>
        <w:jc w:val="both"/>
        <w:rPr>
          <w:sz w:val="18"/>
          <w:szCs w:val="18"/>
        </w:rPr>
      </w:pPr>
      <w:r w:rsidRPr="00F0599A">
        <w:rPr>
          <w:b/>
          <w:sz w:val="18"/>
          <w:szCs w:val="18"/>
        </w:rPr>
        <w:t xml:space="preserve">3.  Час початку і закінчення реєстрації акціонерів для участі у загальних зборах:  </w:t>
      </w:r>
      <w:r w:rsidRPr="00F0599A">
        <w:rPr>
          <w:sz w:val="18"/>
          <w:szCs w:val="18"/>
        </w:rPr>
        <w:t xml:space="preserve">Час початку реєстрації акціонерів у загальних зборах - </w:t>
      </w:r>
      <w:r w:rsidR="00A33612">
        <w:rPr>
          <w:sz w:val="18"/>
          <w:szCs w:val="18"/>
        </w:rPr>
        <w:t>09</w:t>
      </w:r>
      <w:r w:rsidRPr="00F0599A">
        <w:rPr>
          <w:sz w:val="18"/>
          <w:szCs w:val="18"/>
        </w:rPr>
        <w:t xml:space="preserve">.30 за місцевим часом </w:t>
      </w:r>
      <w:r w:rsidR="00A41DE5">
        <w:rPr>
          <w:sz w:val="18"/>
          <w:szCs w:val="18"/>
        </w:rPr>
        <w:t>Нідерландів</w:t>
      </w:r>
      <w:r w:rsidRPr="00F0599A">
        <w:rPr>
          <w:sz w:val="18"/>
          <w:szCs w:val="18"/>
        </w:rPr>
        <w:t>. Час закінчення реєстрації акціонерів у загальних зборах - 1</w:t>
      </w:r>
      <w:r w:rsidR="00A33612">
        <w:rPr>
          <w:sz w:val="18"/>
          <w:szCs w:val="18"/>
        </w:rPr>
        <w:t>0</w:t>
      </w:r>
      <w:r w:rsidRPr="00F0599A">
        <w:rPr>
          <w:sz w:val="18"/>
          <w:szCs w:val="18"/>
        </w:rPr>
        <w:t>.00 за місцевим часом Нідерландів.</w:t>
      </w:r>
    </w:p>
    <w:p w:rsidR="00EC36D9" w:rsidRDefault="00B12C57" w:rsidP="00CF2ECD">
      <w:pPr>
        <w:ind w:right="309"/>
        <w:jc w:val="both"/>
        <w:rPr>
          <w:b/>
          <w:sz w:val="18"/>
          <w:szCs w:val="18"/>
        </w:rPr>
      </w:pPr>
      <w:r w:rsidRPr="00F0599A">
        <w:rPr>
          <w:b/>
          <w:sz w:val="18"/>
          <w:szCs w:val="18"/>
        </w:rPr>
        <w:t>4.  Дат</w:t>
      </w:r>
      <w:r w:rsidR="00EC36D9">
        <w:rPr>
          <w:b/>
          <w:sz w:val="18"/>
          <w:szCs w:val="18"/>
        </w:rPr>
        <w:t>а складення переліку акціонерів для повідомлення про проведення позачергових загальних зборів акціонерів: 23 лютого 202</w:t>
      </w:r>
      <w:r w:rsidR="00CB38B6" w:rsidRPr="00CB38B6">
        <w:rPr>
          <w:b/>
          <w:sz w:val="18"/>
          <w:szCs w:val="18"/>
          <w:lang w:val="ru-RU"/>
        </w:rPr>
        <w:t>2</w:t>
      </w:r>
      <w:r w:rsidR="00EC36D9">
        <w:rPr>
          <w:b/>
          <w:sz w:val="18"/>
          <w:szCs w:val="18"/>
        </w:rPr>
        <w:t xml:space="preserve"> року.</w:t>
      </w:r>
    </w:p>
    <w:p w:rsidR="00B12C57" w:rsidRPr="00EC36D9" w:rsidRDefault="00EC36D9" w:rsidP="00CF2ECD">
      <w:pPr>
        <w:ind w:right="309"/>
        <w:jc w:val="both"/>
        <w:rPr>
          <w:b/>
          <w:sz w:val="18"/>
          <w:szCs w:val="18"/>
        </w:rPr>
      </w:pPr>
      <w:r>
        <w:rPr>
          <w:b/>
          <w:sz w:val="18"/>
          <w:szCs w:val="18"/>
        </w:rPr>
        <w:t>5.  Дата складання переліку акціонерів які мають право брати участь в позачергових загальних зборів акціонерів:</w:t>
      </w:r>
      <w:r w:rsidR="00B12C57" w:rsidRPr="00F0599A">
        <w:rPr>
          <w:b/>
          <w:sz w:val="18"/>
          <w:szCs w:val="18"/>
        </w:rPr>
        <w:t xml:space="preserve"> </w:t>
      </w:r>
      <w:r w:rsidR="007F0707" w:rsidRPr="00EC36D9">
        <w:rPr>
          <w:b/>
          <w:sz w:val="18"/>
          <w:szCs w:val="18"/>
        </w:rPr>
        <w:t>10 березня 2022</w:t>
      </w:r>
      <w:r w:rsidRPr="00EC36D9">
        <w:rPr>
          <w:b/>
          <w:sz w:val="18"/>
          <w:szCs w:val="18"/>
        </w:rPr>
        <w:t xml:space="preserve"> року</w:t>
      </w:r>
      <w:r w:rsidR="00B12C57" w:rsidRPr="00EC36D9">
        <w:rPr>
          <w:b/>
          <w:sz w:val="18"/>
          <w:szCs w:val="18"/>
        </w:rPr>
        <w:t xml:space="preserve">. </w:t>
      </w:r>
    </w:p>
    <w:p w:rsidR="00B12C57" w:rsidRPr="00C700EB" w:rsidRDefault="00B12C57" w:rsidP="00CF2ECD">
      <w:pPr>
        <w:ind w:right="309"/>
        <w:jc w:val="both"/>
        <w:rPr>
          <w:b/>
          <w:sz w:val="18"/>
          <w:szCs w:val="18"/>
        </w:rPr>
      </w:pPr>
      <w:r w:rsidRPr="00F0599A">
        <w:rPr>
          <w:b/>
          <w:sz w:val="18"/>
          <w:szCs w:val="18"/>
        </w:rPr>
        <w:t>5.  Перелік питань проекту порядку денного разом з проектом рішень: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372"/>
        <w:gridCol w:w="4950"/>
      </w:tblGrid>
      <w:tr w:rsidR="00B12C57" w:rsidRPr="00AE0235" w:rsidTr="0054501F">
        <w:tc>
          <w:tcPr>
            <w:tcW w:w="533" w:type="dxa"/>
            <w:shd w:val="clear" w:color="auto" w:fill="auto"/>
          </w:tcPr>
          <w:p w:rsidR="00B12C57" w:rsidRPr="00F0599A" w:rsidRDefault="00B12C57" w:rsidP="0054501F">
            <w:pPr>
              <w:rPr>
                <w:b/>
                <w:sz w:val="18"/>
                <w:szCs w:val="18"/>
              </w:rPr>
            </w:pPr>
            <w:r w:rsidRPr="00F0599A">
              <w:rPr>
                <w:b/>
                <w:sz w:val="18"/>
                <w:szCs w:val="18"/>
              </w:rPr>
              <w:t>1</w:t>
            </w:r>
          </w:p>
        </w:tc>
        <w:tc>
          <w:tcPr>
            <w:tcW w:w="4372" w:type="dxa"/>
            <w:shd w:val="clear" w:color="auto" w:fill="auto"/>
          </w:tcPr>
          <w:p w:rsidR="00B12C57" w:rsidRPr="00F0599A" w:rsidRDefault="0065658E" w:rsidP="005B061B">
            <w:pPr>
              <w:rPr>
                <w:b/>
                <w:sz w:val="18"/>
                <w:szCs w:val="18"/>
              </w:rPr>
            </w:pPr>
            <w:r w:rsidRPr="0065658E">
              <w:rPr>
                <w:b/>
                <w:sz w:val="18"/>
                <w:szCs w:val="18"/>
              </w:rPr>
              <w:t>Про обрання членів лічильної комісії загальних зборів акціонерів Банку.</w:t>
            </w:r>
          </w:p>
        </w:tc>
        <w:tc>
          <w:tcPr>
            <w:tcW w:w="4950" w:type="dxa"/>
            <w:shd w:val="clear" w:color="auto" w:fill="auto"/>
          </w:tcPr>
          <w:p w:rsidR="00B12C57" w:rsidRPr="00F0599A" w:rsidRDefault="001609FF" w:rsidP="002503B4">
            <w:pPr>
              <w:jc w:val="both"/>
              <w:rPr>
                <w:b/>
                <w:sz w:val="18"/>
                <w:szCs w:val="18"/>
              </w:rPr>
            </w:pPr>
            <w:r>
              <w:rPr>
                <w:b/>
                <w:sz w:val="18"/>
                <w:szCs w:val="18"/>
              </w:rPr>
              <w:t xml:space="preserve">Обрати членами лічильної комісії загальних зборів акціонерів Банку Мехмет </w:t>
            </w:r>
            <w:proofErr w:type="spellStart"/>
            <w:r>
              <w:rPr>
                <w:b/>
                <w:sz w:val="18"/>
                <w:szCs w:val="18"/>
              </w:rPr>
              <w:t>Тікіз</w:t>
            </w:r>
            <w:proofErr w:type="spellEnd"/>
            <w:r w:rsidR="004627E7">
              <w:rPr>
                <w:b/>
                <w:sz w:val="18"/>
                <w:szCs w:val="18"/>
              </w:rPr>
              <w:t xml:space="preserve"> </w:t>
            </w:r>
            <w:r>
              <w:rPr>
                <w:b/>
                <w:sz w:val="18"/>
                <w:szCs w:val="18"/>
              </w:rPr>
              <w:t xml:space="preserve"> </w:t>
            </w:r>
            <w:r w:rsidR="004627E7" w:rsidRPr="004627E7">
              <w:rPr>
                <w:b/>
                <w:sz w:val="18"/>
                <w:szCs w:val="18"/>
              </w:rPr>
              <w:t>[</w:t>
            </w:r>
            <w:proofErr w:type="spellStart"/>
            <w:r w:rsidR="004627E7" w:rsidRPr="004627E7">
              <w:rPr>
                <w:b/>
                <w:sz w:val="18"/>
                <w:szCs w:val="18"/>
              </w:rPr>
              <w:t>Mehmet</w:t>
            </w:r>
            <w:proofErr w:type="spellEnd"/>
            <w:r w:rsidR="004627E7" w:rsidRPr="004627E7">
              <w:rPr>
                <w:b/>
                <w:sz w:val="18"/>
                <w:szCs w:val="18"/>
              </w:rPr>
              <w:t xml:space="preserve"> </w:t>
            </w:r>
            <w:proofErr w:type="spellStart"/>
            <w:r w:rsidR="004627E7" w:rsidRPr="004627E7">
              <w:rPr>
                <w:b/>
                <w:sz w:val="18"/>
                <w:szCs w:val="18"/>
              </w:rPr>
              <w:t>Tikiz</w:t>
            </w:r>
            <w:proofErr w:type="spellEnd"/>
            <w:r w:rsidR="004627E7" w:rsidRPr="004627E7">
              <w:rPr>
                <w:b/>
                <w:sz w:val="18"/>
                <w:szCs w:val="18"/>
              </w:rPr>
              <w:t xml:space="preserve">] </w:t>
            </w:r>
            <w:r>
              <w:rPr>
                <w:b/>
                <w:sz w:val="18"/>
                <w:szCs w:val="18"/>
              </w:rPr>
              <w:t xml:space="preserve">та </w:t>
            </w:r>
            <w:proofErr w:type="spellStart"/>
            <w:r>
              <w:rPr>
                <w:b/>
                <w:sz w:val="18"/>
                <w:szCs w:val="18"/>
              </w:rPr>
              <w:t>Севінк</w:t>
            </w:r>
            <w:proofErr w:type="spellEnd"/>
            <w:r>
              <w:rPr>
                <w:b/>
                <w:sz w:val="18"/>
                <w:szCs w:val="18"/>
              </w:rPr>
              <w:t xml:space="preserve"> </w:t>
            </w:r>
            <w:proofErr w:type="spellStart"/>
            <w:r>
              <w:rPr>
                <w:b/>
                <w:sz w:val="18"/>
                <w:szCs w:val="18"/>
              </w:rPr>
              <w:t>Османову</w:t>
            </w:r>
            <w:proofErr w:type="spellEnd"/>
            <w:r w:rsidR="004627E7" w:rsidRPr="004627E7">
              <w:rPr>
                <w:b/>
                <w:sz w:val="18"/>
                <w:szCs w:val="18"/>
              </w:rPr>
              <w:t xml:space="preserve"> [</w:t>
            </w:r>
            <w:proofErr w:type="spellStart"/>
            <w:r w:rsidR="004627E7" w:rsidRPr="004627E7">
              <w:rPr>
                <w:b/>
                <w:sz w:val="18"/>
                <w:szCs w:val="18"/>
              </w:rPr>
              <w:t>Sevinc</w:t>
            </w:r>
            <w:proofErr w:type="spellEnd"/>
            <w:r w:rsidR="004627E7" w:rsidRPr="004627E7">
              <w:rPr>
                <w:b/>
                <w:sz w:val="18"/>
                <w:szCs w:val="18"/>
              </w:rPr>
              <w:t xml:space="preserve"> </w:t>
            </w:r>
            <w:proofErr w:type="spellStart"/>
            <w:r w:rsidR="004627E7" w:rsidRPr="004627E7">
              <w:rPr>
                <w:b/>
                <w:sz w:val="18"/>
                <w:szCs w:val="18"/>
              </w:rPr>
              <w:t>Osmanova</w:t>
            </w:r>
            <w:proofErr w:type="spellEnd"/>
            <w:r w:rsidR="004627E7" w:rsidRPr="004627E7">
              <w:rPr>
                <w:b/>
                <w:sz w:val="18"/>
                <w:szCs w:val="18"/>
              </w:rPr>
              <w:t>].</w:t>
            </w:r>
          </w:p>
        </w:tc>
      </w:tr>
      <w:tr w:rsidR="00B12C57" w:rsidRPr="00AE0235" w:rsidTr="0054501F">
        <w:tc>
          <w:tcPr>
            <w:tcW w:w="533" w:type="dxa"/>
            <w:shd w:val="clear" w:color="auto" w:fill="auto"/>
          </w:tcPr>
          <w:p w:rsidR="00B12C57" w:rsidRPr="00F0599A" w:rsidRDefault="00B12C57" w:rsidP="0054501F">
            <w:pPr>
              <w:rPr>
                <w:b/>
                <w:sz w:val="18"/>
                <w:szCs w:val="18"/>
              </w:rPr>
            </w:pPr>
            <w:r w:rsidRPr="00F0599A">
              <w:rPr>
                <w:b/>
                <w:sz w:val="18"/>
                <w:szCs w:val="18"/>
              </w:rPr>
              <w:t>2</w:t>
            </w:r>
          </w:p>
        </w:tc>
        <w:tc>
          <w:tcPr>
            <w:tcW w:w="4372" w:type="dxa"/>
            <w:shd w:val="clear" w:color="auto" w:fill="auto"/>
          </w:tcPr>
          <w:p w:rsidR="00B12C57" w:rsidRPr="00F0599A" w:rsidRDefault="001609FF" w:rsidP="005B061B">
            <w:pPr>
              <w:rPr>
                <w:b/>
                <w:sz w:val="18"/>
                <w:szCs w:val="18"/>
              </w:rPr>
            </w:pPr>
            <w:r w:rsidRPr="0065658E">
              <w:rPr>
                <w:b/>
                <w:sz w:val="18"/>
                <w:szCs w:val="18"/>
              </w:rPr>
              <w:t>Про обрання голови та секретаря загальних зборів акціонерів Банку.</w:t>
            </w:r>
          </w:p>
        </w:tc>
        <w:tc>
          <w:tcPr>
            <w:tcW w:w="4950" w:type="dxa"/>
            <w:shd w:val="clear" w:color="auto" w:fill="auto"/>
          </w:tcPr>
          <w:p w:rsidR="00B12C57" w:rsidRPr="00F0599A" w:rsidRDefault="001609FF" w:rsidP="002503B4">
            <w:pPr>
              <w:jc w:val="both"/>
              <w:rPr>
                <w:b/>
                <w:sz w:val="18"/>
                <w:szCs w:val="18"/>
              </w:rPr>
            </w:pPr>
            <w:r w:rsidRPr="001609FF">
              <w:rPr>
                <w:b/>
                <w:sz w:val="18"/>
                <w:szCs w:val="18"/>
              </w:rPr>
              <w:t>Обрати</w:t>
            </w:r>
            <w:r>
              <w:rPr>
                <w:b/>
                <w:sz w:val="18"/>
                <w:szCs w:val="18"/>
              </w:rPr>
              <w:t xml:space="preserve"> Головою загальних зборів акціонерів </w:t>
            </w:r>
            <w:proofErr w:type="spellStart"/>
            <w:r w:rsidR="002B2A27" w:rsidRPr="004627E7">
              <w:rPr>
                <w:b/>
                <w:sz w:val="18"/>
                <w:szCs w:val="18"/>
              </w:rPr>
              <w:t>Сенола</w:t>
            </w:r>
            <w:proofErr w:type="spellEnd"/>
            <w:r w:rsidR="002B2A27" w:rsidRPr="004627E7">
              <w:rPr>
                <w:b/>
                <w:sz w:val="18"/>
                <w:szCs w:val="18"/>
              </w:rPr>
              <w:t xml:space="preserve"> </w:t>
            </w:r>
            <w:proofErr w:type="spellStart"/>
            <w:r w:rsidR="002B2A27" w:rsidRPr="004627E7">
              <w:rPr>
                <w:b/>
                <w:sz w:val="18"/>
                <w:szCs w:val="18"/>
              </w:rPr>
              <w:t>Алоглу</w:t>
            </w:r>
            <w:proofErr w:type="spellEnd"/>
            <w:r w:rsidR="002B2A27" w:rsidRPr="004627E7">
              <w:rPr>
                <w:b/>
                <w:sz w:val="18"/>
                <w:szCs w:val="18"/>
              </w:rPr>
              <w:t xml:space="preserve"> [</w:t>
            </w:r>
            <w:proofErr w:type="spellStart"/>
            <w:r w:rsidR="002B2A27">
              <w:rPr>
                <w:b/>
                <w:sz w:val="18"/>
                <w:szCs w:val="18"/>
              </w:rPr>
              <w:t>Senol</w:t>
            </w:r>
            <w:proofErr w:type="spellEnd"/>
            <w:r w:rsidR="002B2A27">
              <w:rPr>
                <w:b/>
                <w:sz w:val="18"/>
                <w:szCs w:val="18"/>
              </w:rPr>
              <w:t xml:space="preserve"> </w:t>
            </w:r>
            <w:proofErr w:type="spellStart"/>
            <w:r w:rsidR="002B2A27">
              <w:rPr>
                <w:b/>
                <w:sz w:val="18"/>
                <w:szCs w:val="18"/>
              </w:rPr>
              <w:t>Aloglu</w:t>
            </w:r>
            <w:proofErr w:type="spellEnd"/>
            <w:r w:rsidR="002B2A27">
              <w:rPr>
                <w:b/>
                <w:sz w:val="18"/>
                <w:szCs w:val="18"/>
              </w:rPr>
              <w:t>]</w:t>
            </w:r>
            <w:r w:rsidR="004627E7" w:rsidRPr="004627E7">
              <w:rPr>
                <w:b/>
                <w:sz w:val="18"/>
                <w:szCs w:val="18"/>
              </w:rPr>
              <w:t xml:space="preserve"> </w:t>
            </w:r>
            <w:r>
              <w:rPr>
                <w:b/>
                <w:sz w:val="18"/>
                <w:szCs w:val="18"/>
              </w:rPr>
              <w:t xml:space="preserve"> та Секретарем </w:t>
            </w:r>
            <w:r w:rsidRPr="001609FF">
              <w:rPr>
                <w:b/>
                <w:sz w:val="18"/>
                <w:szCs w:val="18"/>
              </w:rPr>
              <w:t>загальних зборів акціонерів</w:t>
            </w:r>
            <w:r>
              <w:rPr>
                <w:b/>
                <w:sz w:val="18"/>
                <w:szCs w:val="18"/>
              </w:rPr>
              <w:t xml:space="preserve"> Банку </w:t>
            </w:r>
            <w:r w:rsidR="002B2A27">
              <w:rPr>
                <w:b/>
                <w:sz w:val="18"/>
                <w:szCs w:val="18"/>
              </w:rPr>
              <w:t xml:space="preserve">Умут Байоглу </w:t>
            </w:r>
            <w:r w:rsidR="002B2A27" w:rsidRPr="002B2A27">
              <w:rPr>
                <w:b/>
                <w:sz w:val="18"/>
                <w:szCs w:val="18"/>
              </w:rPr>
              <w:t>[</w:t>
            </w:r>
            <w:r w:rsidR="002B2A27">
              <w:rPr>
                <w:b/>
                <w:sz w:val="18"/>
                <w:szCs w:val="18"/>
                <w:lang w:val="en-US"/>
              </w:rPr>
              <w:t>Umut</w:t>
            </w:r>
            <w:r w:rsidR="002B2A27" w:rsidRPr="002B2A27">
              <w:rPr>
                <w:b/>
                <w:sz w:val="18"/>
                <w:szCs w:val="18"/>
              </w:rPr>
              <w:t xml:space="preserve"> </w:t>
            </w:r>
            <w:r w:rsidR="002B2A27">
              <w:rPr>
                <w:b/>
                <w:sz w:val="18"/>
                <w:szCs w:val="18"/>
                <w:lang w:val="en-US"/>
              </w:rPr>
              <w:t>Bayoglu</w:t>
            </w:r>
            <w:r w:rsidR="002B2A27" w:rsidRPr="002B2A27">
              <w:rPr>
                <w:b/>
                <w:sz w:val="18"/>
                <w:szCs w:val="18"/>
              </w:rPr>
              <w:t xml:space="preserve">]/  </w:t>
            </w:r>
          </w:p>
        </w:tc>
      </w:tr>
      <w:tr w:rsidR="00B12C57" w:rsidRPr="00F0599A" w:rsidTr="005B061B">
        <w:trPr>
          <w:trHeight w:val="498"/>
        </w:trPr>
        <w:tc>
          <w:tcPr>
            <w:tcW w:w="533" w:type="dxa"/>
            <w:shd w:val="clear" w:color="auto" w:fill="auto"/>
          </w:tcPr>
          <w:p w:rsidR="00B12C57" w:rsidRPr="00F0599A" w:rsidRDefault="00B12C57" w:rsidP="0054501F">
            <w:pPr>
              <w:rPr>
                <w:b/>
                <w:sz w:val="18"/>
                <w:szCs w:val="18"/>
              </w:rPr>
            </w:pPr>
            <w:r w:rsidRPr="00F0599A">
              <w:rPr>
                <w:b/>
                <w:sz w:val="18"/>
                <w:szCs w:val="18"/>
              </w:rPr>
              <w:t>3</w:t>
            </w:r>
          </w:p>
        </w:tc>
        <w:tc>
          <w:tcPr>
            <w:tcW w:w="4372" w:type="dxa"/>
            <w:shd w:val="clear" w:color="auto" w:fill="auto"/>
          </w:tcPr>
          <w:p w:rsidR="00B12C57" w:rsidRPr="00F0599A" w:rsidRDefault="001609FF" w:rsidP="005B061B">
            <w:pPr>
              <w:rPr>
                <w:b/>
                <w:sz w:val="18"/>
                <w:szCs w:val="18"/>
              </w:rPr>
            </w:pPr>
            <w:r w:rsidRPr="0065658E">
              <w:rPr>
                <w:b/>
                <w:sz w:val="18"/>
                <w:szCs w:val="18"/>
              </w:rPr>
              <w:t>Про розподіл прибутку і збитку Банку за 2019 рік.</w:t>
            </w:r>
          </w:p>
        </w:tc>
        <w:tc>
          <w:tcPr>
            <w:tcW w:w="4950" w:type="dxa"/>
            <w:shd w:val="clear" w:color="auto" w:fill="auto"/>
          </w:tcPr>
          <w:p w:rsidR="00A35C75" w:rsidRPr="00AC4168" w:rsidRDefault="00221320" w:rsidP="002503B4">
            <w:pPr>
              <w:jc w:val="both"/>
              <w:rPr>
                <w:b/>
                <w:sz w:val="18"/>
                <w:szCs w:val="18"/>
              </w:rPr>
            </w:pPr>
            <w:r w:rsidRPr="00AC4168">
              <w:rPr>
                <w:b/>
                <w:sz w:val="18"/>
                <w:szCs w:val="18"/>
              </w:rPr>
              <w:t>Розподілити прибут</w:t>
            </w:r>
            <w:r w:rsidR="004627E7">
              <w:rPr>
                <w:b/>
                <w:sz w:val="18"/>
                <w:szCs w:val="18"/>
              </w:rPr>
              <w:t>о</w:t>
            </w:r>
            <w:r w:rsidRPr="00AC4168">
              <w:rPr>
                <w:b/>
                <w:sz w:val="18"/>
                <w:szCs w:val="18"/>
              </w:rPr>
              <w:t>к Банку за 2019 рік</w:t>
            </w:r>
            <w:r w:rsidR="004627E7">
              <w:rPr>
                <w:b/>
                <w:sz w:val="18"/>
                <w:szCs w:val="18"/>
              </w:rPr>
              <w:t xml:space="preserve"> у сумі</w:t>
            </w:r>
            <w:r w:rsidRPr="00AC4168">
              <w:rPr>
                <w:b/>
                <w:sz w:val="18"/>
                <w:szCs w:val="18"/>
              </w:rPr>
              <w:t xml:space="preserve">  </w:t>
            </w:r>
          </w:p>
          <w:p w:rsidR="00221320" w:rsidRPr="002B2A27" w:rsidRDefault="00A14BEC" w:rsidP="00A14BEC">
            <w:pPr>
              <w:jc w:val="both"/>
              <w:rPr>
                <w:b/>
                <w:sz w:val="18"/>
                <w:szCs w:val="18"/>
                <w:lang w:val="ru-RU"/>
              </w:rPr>
            </w:pPr>
            <w:r w:rsidRPr="00A14BEC">
              <w:rPr>
                <w:b/>
                <w:sz w:val="18"/>
                <w:szCs w:val="18"/>
                <w:lang w:val="ru-RU"/>
              </w:rPr>
              <w:t>53</w:t>
            </w:r>
            <w:r>
              <w:rPr>
                <w:b/>
                <w:sz w:val="18"/>
                <w:szCs w:val="18"/>
                <w:lang w:val="ru-RU"/>
              </w:rPr>
              <w:t>906634</w:t>
            </w:r>
            <w:r w:rsidRPr="00A14BEC">
              <w:rPr>
                <w:b/>
                <w:sz w:val="18"/>
                <w:szCs w:val="18"/>
                <w:lang w:val="ru-RU"/>
              </w:rPr>
              <w:t>,44</w:t>
            </w:r>
            <w:r w:rsidR="00221320" w:rsidRPr="00AC4168">
              <w:rPr>
                <w:b/>
                <w:sz w:val="18"/>
                <w:szCs w:val="18"/>
              </w:rPr>
              <w:t xml:space="preserve"> гривень </w:t>
            </w:r>
            <w:r w:rsidR="004627E7">
              <w:rPr>
                <w:b/>
                <w:sz w:val="18"/>
                <w:szCs w:val="18"/>
              </w:rPr>
              <w:t xml:space="preserve">та направити його </w:t>
            </w:r>
            <w:r w:rsidR="00221320" w:rsidRPr="00AC4168">
              <w:rPr>
                <w:b/>
                <w:sz w:val="18"/>
                <w:szCs w:val="18"/>
              </w:rPr>
              <w:t xml:space="preserve">на виплату дивідендів акціонерам за 2019 </w:t>
            </w:r>
            <w:proofErr w:type="gramStart"/>
            <w:r w:rsidR="00221320" w:rsidRPr="00AC4168">
              <w:rPr>
                <w:b/>
                <w:sz w:val="18"/>
                <w:szCs w:val="18"/>
              </w:rPr>
              <w:t>р</w:t>
            </w:r>
            <w:proofErr w:type="gramEnd"/>
            <w:r w:rsidR="00221320" w:rsidRPr="00AC4168">
              <w:rPr>
                <w:b/>
                <w:sz w:val="18"/>
                <w:szCs w:val="18"/>
              </w:rPr>
              <w:t>ік</w:t>
            </w:r>
            <w:r w:rsidR="002B2A27" w:rsidRPr="002B2A27">
              <w:rPr>
                <w:b/>
                <w:sz w:val="18"/>
                <w:szCs w:val="18"/>
                <w:lang w:val="ru-RU"/>
              </w:rPr>
              <w:t>.</w:t>
            </w:r>
          </w:p>
        </w:tc>
      </w:tr>
      <w:tr w:rsidR="00B12C57" w:rsidRPr="00F0599A" w:rsidTr="0054501F">
        <w:trPr>
          <w:trHeight w:val="193"/>
        </w:trPr>
        <w:tc>
          <w:tcPr>
            <w:tcW w:w="533" w:type="dxa"/>
            <w:shd w:val="clear" w:color="auto" w:fill="auto"/>
          </w:tcPr>
          <w:p w:rsidR="00B12C57" w:rsidRPr="00F0599A" w:rsidRDefault="00B12C57" w:rsidP="0054501F">
            <w:pPr>
              <w:rPr>
                <w:b/>
                <w:sz w:val="18"/>
                <w:szCs w:val="18"/>
              </w:rPr>
            </w:pPr>
            <w:r w:rsidRPr="00F0599A">
              <w:rPr>
                <w:b/>
                <w:sz w:val="18"/>
                <w:szCs w:val="18"/>
              </w:rPr>
              <w:t>4</w:t>
            </w:r>
          </w:p>
        </w:tc>
        <w:tc>
          <w:tcPr>
            <w:tcW w:w="4372" w:type="dxa"/>
            <w:shd w:val="clear" w:color="auto" w:fill="auto"/>
          </w:tcPr>
          <w:p w:rsidR="00B12C57" w:rsidRPr="00F0599A" w:rsidRDefault="001609FF" w:rsidP="005B061B">
            <w:pPr>
              <w:rPr>
                <w:sz w:val="18"/>
                <w:szCs w:val="18"/>
              </w:rPr>
            </w:pPr>
            <w:r w:rsidRPr="0065658E">
              <w:rPr>
                <w:b/>
                <w:sz w:val="18"/>
                <w:szCs w:val="18"/>
              </w:rPr>
              <w:t>Про розподіл прибутку і збитку Банку за 2020 рік.</w:t>
            </w:r>
          </w:p>
        </w:tc>
        <w:tc>
          <w:tcPr>
            <w:tcW w:w="4950" w:type="dxa"/>
            <w:shd w:val="clear" w:color="auto" w:fill="auto"/>
          </w:tcPr>
          <w:p w:rsidR="004627E7" w:rsidRPr="004627E7" w:rsidRDefault="004627E7" w:rsidP="002503B4">
            <w:pPr>
              <w:jc w:val="both"/>
              <w:rPr>
                <w:b/>
                <w:sz w:val="18"/>
                <w:szCs w:val="18"/>
              </w:rPr>
            </w:pPr>
            <w:r w:rsidRPr="004627E7">
              <w:rPr>
                <w:b/>
                <w:sz w:val="18"/>
                <w:szCs w:val="18"/>
              </w:rPr>
              <w:t>Розподілити прибуток Банку за 20</w:t>
            </w:r>
            <w:r w:rsidR="004012F1" w:rsidRPr="004012F1">
              <w:rPr>
                <w:b/>
                <w:sz w:val="18"/>
                <w:szCs w:val="18"/>
                <w:lang w:val="ru-RU"/>
              </w:rPr>
              <w:t>20</w:t>
            </w:r>
            <w:r w:rsidRPr="004627E7">
              <w:rPr>
                <w:b/>
                <w:sz w:val="18"/>
                <w:szCs w:val="18"/>
              </w:rPr>
              <w:t xml:space="preserve"> рік у сумі  </w:t>
            </w:r>
          </w:p>
          <w:p w:rsidR="00221320" w:rsidRPr="002B2A27" w:rsidRDefault="00A14BEC" w:rsidP="002503B4">
            <w:pPr>
              <w:jc w:val="both"/>
              <w:rPr>
                <w:b/>
                <w:sz w:val="18"/>
                <w:szCs w:val="18"/>
                <w:lang w:val="ru-RU"/>
              </w:rPr>
            </w:pPr>
            <w:r>
              <w:rPr>
                <w:b/>
                <w:sz w:val="18"/>
                <w:szCs w:val="18"/>
                <w:lang w:val="ru-RU"/>
              </w:rPr>
              <w:t>24 955</w:t>
            </w:r>
            <w:r w:rsidRPr="00A14BEC">
              <w:rPr>
                <w:b/>
                <w:sz w:val="18"/>
                <w:szCs w:val="18"/>
                <w:lang w:val="ru-RU"/>
              </w:rPr>
              <w:t xml:space="preserve"> </w:t>
            </w:r>
            <w:r>
              <w:rPr>
                <w:b/>
                <w:sz w:val="18"/>
                <w:szCs w:val="18"/>
                <w:lang w:val="ru-RU"/>
              </w:rPr>
              <w:t>557</w:t>
            </w:r>
            <w:r w:rsidRPr="00A14BEC">
              <w:rPr>
                <w:b/>
                <w:sz w:val="18"/>
                <w:szCs w:val="18"/>
                <w:lang w:val="ru-RU"/>
              </w:rPr>
              <w:t>,39</w:t>
            </w:r>
            <w:r w:rsidR="004627E7" w:rsidRPr="004627E7">
              <w:rPr>
                <w:b/>
                <w:sz w:val="18"/>
                <w:szCs w:val="18"/>
              </w:rPr>
              <w:t xml:space="preserve"> гривень та направити його на виплату дивідендів акціонерам за 20</w:t>
            </w:r>
            <w:r w:rsidR="004627E7">
              <w:rPr>
                <w:b/>
                <w:sz w:val="18"/>
                <w:szCs w:val="18"/>
              </w:rPr>
              <w:t>20</w:t>
            </w:r>
            <w:r w:rsidR="004627E7" w:rsidRPr="004627E7">
              <w:rPr>
                <w:b/>
                <w:sz w:val="18"/>
                <w:szCs w:val="18"/>
              </w:rPr>
              <w:t xml:space="preserve"> </w:t>
            </w:r>
            <w:proofErr w:type="gramStart"/>
            <w:r w:rsidR="004627E7" w:rsidRPr="004627E7">
              <w:rPr>
                <w:b/>
                <w:sz w:val="18"/>
                <w:szCs w:val="18"/>
              </w:rPr>
              <w:t>р</w:t>
            </w:r>
            <w:proofErr w:type="gramEnd"/>
            <w:r w:rsidR="004627E7" w:rsidRPr="004627E7">
              <w:rPr>
                <w:b/>
                <w:sz w:val="18"/>
                <w:szCs w:val="18"/>
              </w:rPr>
              <w:t>ік</w:t>
            </w:r>
            <w:r w:rsidR="002B2A27" w:rsidRPr="002B2A27">
              <w:rPr>
                <w:b/>
                <w:sz w:val="18"/>
                <w:szCs w:val="18"/>
                <w:lang w:val="ru-RU"/>
              </w:rPr>
              <w:t>.</w:t>
            </w:r>
          </w:p>
        </w:tc>
      </w:tr>
      <w:tr w:rsidR="00B12C57" w:rsidRPr="00A810CC" w:rsidTr="0054501F">
        <w:tc>
          <w:tcPr>
            <w:tcW w:w="533" w:type="dxa"/>
            <w:shd w:val="clear" w:color="auto" w:fill="auto"/>
          </w:tcPr>
          <w:p w:rsidR="00B12C57" w:rsidRPr="00F0599A" w:rsidRDefault="00B12C57" w:rsidP="0054501F">
            <w:pPr>
              <w:rPr>
                <w:b/>
                <w:sz w:val="18"/>
                <w:szCs w:val="18"/>
              </w:rPr>
            </w:pPr>
            <w:r w:rsidRPr="00F0599A">
              <w:rPr>
                <w:b/>
                <w:sz w:val="18"/>
                <w:szCs w:val="18"/>
              </w:rPr>
              <w:t>5</w:t>
            </w:r>
          </w:p>
        </w:tc>
        <w:tc>
          <w:tcPr>
            <w:tcW w:w="4372" w:type="dxa"/>
            <w:shd w:val="clear" w:color="auto" w:fill="auto"/>
          </w:tcPr>
          <w:p w:rsidR="00B12C57" w:rsidRPr="000522A0" w:rsidRDefault="001609FF" w:rsidP="005B061B">
            <w:pPr>
              <w:rPr>
                <w:sz w:val="18"/>
                <w:szCs w:val="18"/>
              </w:rPr>
            </w:pPr>
            <w:r w:rsidRPr="0065658E">
              <w:rPr>
                <w:b/>
                <w:sz w:val="18"/>
                <w:szCs w:val="18"/>
              </w:rPr>
              <w:t>Про виплату дивідендів за 2019 рік.</w:t>
            </w:r>
          </w:p>
        </w:tc>
        <w:tc>
          <w:tcPr>
            <w:tcW w:w="4950" w:type="dxa"/>
            <w:shd w:val="clear" w:color="auto" w:fill="auto"/>
          </w:tcPr>
          <w:p w:rsidR="00B12C57" w:rsidRPr="00AC4168" w:rsidRDefault="00221320" w:rsidP="00870A3A">
            <w:pPr>
              <w:jc w:val="both"/>
              <w:rPr>
                <w:b/>
                <w:sz w:val="18"/>
                <w:szCs w:val="18"/>
              </w:rPr>
            </w:pPr>
            <w:r w:rsidRPr="00AC4168">
              <w:rPr>
                <w:b/>
                <w:sz w:val="18"/>
                <w:szCs w:val="18"/>
              </w:rPr>
              <w:t xml:space="preserve">За </w:t>
            </w:r>
            <w:r w:rsidR="004627E7" w:rsidRPr="004627E7">
              <w:rPr>
                <w:b/>
                <w:sz w:val="18"/>
                <w:szCs w:val="18"/>
              </w:rPr>
              <w:t xml:space="preserve">результатами </w:t>
            </w:r>
            <w:r w:rsidR="004627E7">
              <w:rPr>
                <w:b/>
                <w:sz w:val="18"/>
                <w:szCs w:val="18"/>
              </w:rPr>
              <w:t xml:space="preserve">2019 року </w:t>
            </w:r>
            <w:r w:rsidR="004627E7" w:rsidRPr="004627E7">
              <w:rPr>
                <w:b/>
                <w:sz w:val="18"/>
                <w:szCs w:val="18"/>
              </w:rPr>
              <w:t xml:space="preserve"> виплат</w:t>
            </w:r>
            <w:r w:rsidR="004627E7">
              <w:rPr>
                <w:b/>
                <w:sz w:val="18"/>
                <w:szCs w:val="18"/>
              </w:rPr>
              <w:t>ити</w:t>
            </w:r>
            <w:r w:rsidR="004627E7" w:rsidRPr="004627E7">
              <w:rPr>
                <w:b/>
                <w:sz w:val="18"/>
                <w:szCs w:val="18"/>
              </w:rPr>
              <w:t xml:space="preserve"> </w:t>
            </w:r>
            <w:r w:rsidR="004627E7" w:rsidRPr="00AC4168">
              <w:rPr>
                <w:b/>
                <w:sz w:val="18"/>
                <w:szCs w:val="18"/>
              </w:rPr>
              <w:t xml:space="preserve">акціонерам Банку </w:t>
            </w:r>
            <w:r w:rsidR="004627E7">
              <w:rPr>
                <w:b/>
                <w:sz w:val="18"/>
                <w:szCs w:val="18"/>
              </w:rPr>
              <w:t>д</w:t>
            </w:r>
            <w:r w:rsidRPr="00AC4168">
              <w:rPr>
                <w:b/>
                <w:sz w:val="18"/>
                <w:szCs w:val="18"/>
              </w:rPr>
              <w:t xml:space="preserve">ивіденди </w:t>
            </w:r>
            <w:r w:rsidR="004627E7">
              <w:rPr>
                <w:b/>
                <w:sz w:val="18"/>
                <w:szCs w:val="18"/>
              </w:rPr>
              <w:t xml:space="preserve">загальною сумою </w:t>
            </w:r>
            <w:r w:rsidRPr="00AC4168">
              <w:rPr>
                <w:b/>
                <w:sz w:val="18"/>
                <w:szCs w:val="18"/>
              </w:rPr>
              <w:t xml:space="preserve"> </w:t>
            </w:r>
            <w:r w:rsidR="00A14BEC">
              <w:rPr>
                <w:b/>
                <w:sz w:val="18"/>
                <w:szCs w:val="18"/>
                <w:lang w:val="en-US"/>
              </w:rPr>
              <w:t>50 500 000,00</w:t>
            </w:r>
            <w:r w:rsidR="00AC4168" w:rsidRPr="00AC4168">
              <w:rPr>
                <w:b/>
                <w:sz w:val="18"/>
                <w:szCs w:val="18"/>
              </w:rPr>
              <w:t xml:space="preserve"> гривень</w:t>
            </w:r>
            <w:r w:rsidR="004627E7">
              <w:rPr>
                <w:b/>
                <w:sz w:val="18"/>
                <w:szCs w:val="18"/>
              </w:rPr>
              <w:t xml:space="preserve"> (з розрахунку </w:t>
            </w:r>
            <w:r w:rsidR="004627E7" w:rsidRPr="004627E7">
              <w:rPr>
                <w:b/>
                <w:sz w:val="18"/>
                <w:szCs w:val="18"/>
              </w:rPr>
              <w:t>0.</w:t>
            </w:r>
            <w:bookmarkStart w:id="0" w:name="_GoBack"/>
            <w:bookmarkEnd w:id="0"/>
            <w:r w:rsidR="00A14BEC">
              <w:rPr>
                <w:b/>
                <w:sz w:val="18"/>
                <w:szCs w:val="18"/>
                <w:lang w:val="en-US"/>
              </w:rPr>
              <w:t>1</w:t>
            </w:r>
            <w:r w:rsidR="004627E7" w:rsidRPr="004627E7">
              <w:rPr>
                <w:b/>
                <w:sz w:val="18"/>
                <w:szCs w:val="18"/>
              </w:rPr>
              <w:t xml:space="preserve"> гривень на одну просту акцію).</w:t>
            </w:r>
          </w:p>
        </w:tc>
      </w:tr>
      <w:tr w:rsidR="00B12C57" w:rsidRPr="00A810CC" w:rsidTr="0054501F">
        <w:trPr>
          <w:trHeight w:val="576"/>
        </w:trPr>
        <w:tc>
          <w:tcPr>
            <w:tcW w:w="533" w:type="dxa"/>
            <w:shd w:val="clear" w:color="auto" w:fill="auto"/>
          </w:tcPr>
          <w:p w:rsidR="00B12C57" w:rsidRPr="00F0599A" w:rsidRDefault="00B12C57" w:rsidP="0054501F">
            <w:pPr>
              <w:rPr>
                <w:b/>
                <w:sz w:val="18"/>
                <w:szCs w:val="18"/>
              </w:rPr>
            </w:pPr>
            <w:r w:rsidRPr="00F0599A">
              <w:rPr>
                <w:b/>
                <w:sz w:val="18"/>
                <w:szCs w:val="18"/>
              </w:rPr>
              <w:t>6</w:t>
            </w:r>
          </w:p>
        </w:tc>
        <w:tc>
          <w:tcPr>
            <w:tcW w:w="4372" w:type="dxa"/>
            <w:shd w:val="clear" w:color="auto" w:fill="auto"/>
          </w:tcPr>
          <w:p w:rsidR="00B12C57" w:rsidRPr="00E0143B" w:rsidRDefault="001609FF" w:rsidP="005B061B">
            <w:pPr>
              <w:rPr>
                <w:b/>
                <w:sz w:val="18"/>
                <w:szCs w:val="18"/>
              </w:rPr>
            </w:pPr>
            <w:r w:rsidRPr="0065658E">
              <w:rPr>
                <w:b/>
                <w:sz w:val="18"/>
                <w:szCs w:val="18"/>
              </w:rPr>
              <w:t>Про виплату дивідендів за 2020 рік.</w:t>
            </w:r>
            <w:r w:rsidRPr="005B061B">
              <w:rPr>
                <w:b/>
                <w:sz w:val="18"/>
                <w:szCs w:val="18"/>
              </w:rPr>
              <w:tab/>
            </w:r>
          </w:p>
        </w:tc>
        <w:tc>
          <w:tcPr>
            <w:tcW w:w="4950" w:type="dxa"/>
            <w:shd w:val="clear" w:color="auto" w:fill="auto"/>
          </w:tcPr>
          <w:p w:rsidR="00B12C57" w:rsidRPr="00AC4168" w:rsidRDefault="004627E7" w:rsidP="004012F1">
            <w:pPr>
              <w:jc w:val="both"/>
              <w:rPr>
                <w:b/>
                <w:sz w:val="18"/>
                <w:szCs w:val="18"/>
              </w:rPr>
            </w:pPr>
            <w:r w:rsidRPr="004627E7">
              <w:rPr>
                <w:b/>
                <w:sz w:val="18"/>
                <w:szCs w:val="18"/>
              </w:rPr>
              <w:t>За результатами 20</w:t>
            </w:r>
            <w:r w:rsidR="004012F1" w:rsidRPr="004012F1">
              <w:rPr>
                <w:b/>
                <w:sz w:val="18"/>
                <w:szCs w:val="18"/>
                <w:lang w:val="ru-RU"/>
              </w:rPr>
              <w:t>20</w:t>
            </w:r>
            <w:r w:rsidRPr="004627E7">
              <w:rPr>
                <w:b/>
                <w:sz w:val="18"/>
                <w:szCs w:val="18"/>
              </w:rPr>
              <w:t xml:space="preserve"> року  виплатити акціонерам Банку дивіденди загальною сумою   </w:t>
            </w:r>
            <w:r w:rsidR="00A14BEC" w:rsidRPr="00A14BEC">
              <w:rPr>
                <w:b/>
                <w:sz w:val="18"/>
                <w:szCs w:val="18"/>
                <w:lang w:val="ru-RU"/>
              </w:rPr>
              <w:t>20</w:t>
            </w:r>
            <w:r w:rsidR="00A14BEC">
              <w:rPr>
                <w:b/>
                <w:sz w:val="18"/>
                <w:szCs w:val="18"/>
                <w:lang w:val="en-US"/>
              </w:rPr>
              <w:t> </w:t>
            </w:r>
            <w:r w:rsidR="00A14BEC" w:rsidRPr="00A14BEC">
              <w:rPr>
                <w:b/>
                <w:sz w:val="18"/>
                <w:szCs w:val="18"/>
                <w:lang w:val="ru-RU"/>
              </w:rPr>
              <w:t>200</w:t>
            </w:r>
            <w:r w:rsidR="00A14BEC">
              <w:rPr>
                <w:b/>
                <w:sz w:val="18"/>
                <w:szCs w:val="18"/>
                <w:lang w:val="en-US"/>
              </w:rPr>
              <w:t xml:space="preserve"> </w:t>
            </w:r>
            <w:r w:rsidR="00A14BEC" w:rsidRPr="00A14BEC">
              <w:rPr>
                <w:b/>
                <w:sz w:val="18"/>
                <w:szCs w:val="18"/>
                <w:lang w:val="ru-RU"/>
              </w:rPr>
              <w:t>000</w:t>
            </w:r>
            <w:r w:rsidR="00A14BEC">
              <w:rPr>
                <w:b/>
                <w:sz w:val="18"/>
                <w:szCs w:val="18"/>
                <w:lang w:val="en-US"/>
              </w:rPr>
              <w:t>,00</w:t>
            </w:r>
            <w:r w:rsidRPr="004627E7">
              <w:rPr>
                <w:b/>
                <w:sz w:val="18"/>
                <w:szCs w:val="18"/>
              </w:rPr>
              <w:t xml:space="preserve"> гривень (з розрахунку 0.0</w:t>
            </w:r>
            <w:r w:rsidR="00A14BEC" w:rsidRPr="00A14BEC">
              <w:rPr>
                <w:b/>
                <w:sz w:val="18"/>
                <w:szCs w:val="18"/>
                <w:lang w:val="ru-RU"/>
              </w:rPr>
              <w:t>4</w:t>
            </w:r>
            <w:r w:rsidRPr="004627E7">
              <w:rPr>
                <w:b/>
                <w:sz w:val="18"/>
                <w:szCs w:val="18"/>
              </w:rPr>
              <w:t xml:space="preserve"> гривень на одну просту акцію).</w:t>
            </w:r>
          </w:p>
        </w:tc>
      </w:tr>
    </w:tbl>
    <w:p w:rsidR="005B061B" w:rsidRDefault="005B061B" w:rsidP="00B12C57">
      <w:pPr>
        <w:rPr>
          <w:b/>
          <w:sz w:val="18"/>
          <w:szCs w:val="18"/>
        </w:rPr>
      </w:pPr>
    </w:p>
    <w:p w:rsidR="00B12C57" w:rsidRPr="003907EB" w:rsidRDefault="00B12C57" w:rsidP="003907EB">
      <w:pPr>
        <w:ind w:right="309"/>
        <w:jc w:val="both"/>
        <w:rPr>
          <w:sz w:val="18"/>
          <w:szCs w:val="18"/>
        </w:rPr>
      </w:pPr>
      <w:r w:rsidRPr="003907EB">
        <w:rPr>
          <w:sz w:val="18"/>
          <w:szCs w:val="18"/>
        </w:rPr>
        <w:t xml:space="preserve">6. Адреса </w:t>
      </w:r>
      <w:proofErr w:type="spellStart"/>
      <w:r w:rsidRPr="003907EB">
        <w:rPr>
          <w:sz w:val="18"/>
          <w:szCs w:val="18"/>
        </w:rPr>
        <w:t>вебсайту</w:t>
      </w:r>
      <w:proofErr w:type="spellEnd"/>
      <w:r w:rsidRPr="003907EB">
        <w:rPr>
          <w:sz w:val="18"/>
          <w:szCs w:val="18"/>
        </w:rPr>
        <w:t xml:space="preserve"> на якому розміщена інформація з проектом рішень щодо кожного з питань, включених до проекту порядку денного: </w:t>
      </w:r>
      <w:hyperlink r:id="rId6" w:history="1">
        <w:r w:rsidRPr="003907EB">
          <w:t>www.crediteurope.com.ua</w:t>
        </w:r>
      </w:hyperlink>
      <w:r w:rsidRPr="003907EB">
        <w:rPr>
          <w:sz w:val="18"/>
          <w:szCs w:val="18"/>
        </w:rPr>
        <w:t xml:space="preserve"> </w:t>
      </w:r>
    </w:p>
    <w:p w:rsidR="00B12C57" w:rsidRPr="00F0599A" w:rsidRDefault="00B12C57" w:rsidP="003907EB">
      <w:pPr>
        <w:ind w:right="309"/>
        <w:jc w:val="both"/>
        <w:rPr>
          <w:sz w:val="18"/>
          <w:szCs w:val="18"/>
        </w:rPr>
      </w:pPr>
      <w:r w:rsidRPr="003907EB">
        <w:rPr>
          <w:sz w:val="18"/>
          <w:szCs w:val="18"/>
        </w:rPr>
        <w:t xml:space="preserve">7. Порядок ознайомлення акціонерів з матеріалами, з якими вони можуть ознайомитися під час підготовки до загальних зборів: </w:t>
      </w:r>
      <w:r w:rsidRPr="00F0599A">
        <w:rPr>
          <w:sz w:val="18"/>
          <w:szCs w:val="18"/>
        </w:rPr>
        <w:t xml:space="preserve">акціонери можуть ознайомитись з матеріалами для проведення позачергових загальних зборів акціонерів кожного робочого </w:t>
      </w:r>
      <w:r w:rsidRPr="002503B4">
        <w:rPr>
          <w:sz w:val="18"/>
          <w:szCs w:val="18"/>
        </w:rPr>
        <w:t>дня з 9:30 до 17:30 за місцезнаходженням АТ “КРЕДИТ ЄВРОПА БАНК”: м.</w:t>
      </w:r>
      <w:r w:rsidR="00D82034" w:rsidRPr="00D82034">
        <w:rPr>
          <w:sz w:val="18"/>
          <w:szCs w:val="18"/>
        </w:rPr>
        <w:t xml:space="preserve"> </w:t>
      </w:r>
      <w:r w:rsidRPr="002503B4">
        <w:rPr>
          <w:sz w:val="18"/>
          <w:szCs w:val="18"/>
        </w:rPr>
        <w:t>Київ, вул. Шовковична,42-44; відповідальна особа – Заступник Начальника Юридичного управління Кондрашин І.В.</w:t>
      </w:r>
      <w:r>
        <w:rPr>
          <w:sz w:val="18"/>
          <w:szCs w:val="18"/>
        </w:rPr>
        <w:t xml:space="preserve"> </w:t>
      </w:r>
    </w:p>
    <w:p w:rsidR="00B12C57" w:rsidRPr="003907EB" w:rsidRDefault="00B12C57" w:rsidP="003907EB">
      <w:pPr>
        <w:ind w:right="309"/>
        <w:jc w:val="both"/>
        <w:rPr>
          <w:sz w:val="18"/>
          <w:szCs w:val="18"/>
        </w:rPr>
      </w:pPr>
      <w:r w:rsidRPr="003907EB">
        <w:rPr>
          <w:sz w:val="18"/>
          <w:szCs w:val="18"/>
        </w:rPr>
        <w:t xml:space="preserve">8. Про права, надані акціонерам відповідно до вимог статей 36 та 38 Закону України “Про акціонерні товариства”. </w:t>
      </w:r>
      <w:r w:rsidRPr="00F0599A">
        <w:rPr>
          <w:sz w:val="18"/>
          <w:szCs w:val="18"/>
        </w:rPr>
        <w:t>Після отримання повідомлення про проведення загальних зборів акціонери можуть користуватися правами, наданими статтями 36 та 38 Закону України “Про акціонерні товариства”: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загальних зборів.</w:t>
      </w:r>
    </w:p>
    <w:p w:rsidR="00B12C57" w:rsidRPr="00F0599A" w:rsidRDefault="00B12C57" w:rsidP="003907EB">
      <w:pPr>
        <w:ind w:right="309"/>
        <w:jc w:val="both"/>
        <w:rPr>
          <w:sz w:val="18"/>
          <w:szCs w:val="18"/>
        </w:rPr>
      </w:pPr>
      <w:r w:rsidRPr="003907EB">
        <w:rPr>
          <w:sz w:val="18"/>
          <w:szCs w:val="18"/>
        </w:rPr>
        <w:t xml:space="preserve">9. Порядок голосування за довіреністю. </w:t>
      </w:r>
      <w:r w:rsidRPr="00F0599A">
        <w:rPr>
          <w:sz w:val="18"/>
          <w:szCs w:val="18"/>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акціонерного товариства. Представник за довіреністю повинен мати оригінал довіреності для участі у загальних зборах акціонерного товариства.</w:t>
      </w:r>
    </w:p>
    <w:p w:rsidR="00B12C57" w:rsidRPr="003907EB" w:rsidRDefault="00B12C57" w:rsidP="003907EB">
      <w:pPr>
        <w:ind w:right="309"/>
        <w:jc w:val="both"/>
        <w:rPr>
          <w:sz w:val="18"/>
          <w:szCs w:val="18"/>
        </w:rPr>
      </w:pPr>
      <w:r w:rsidRPr="003907EB">
        <w:rPr>
          <w:sz w:val="18"/>
          <w:szCs w:val="18"/>
        </w:rPr>
        <w:t>Наглядова рада АТ “КРЕДИТ ЄВРОПА БАНК”.</w:t>
      </w:r>
    </w:p>
    <w:p w:rsidR="00B12C57" w:rsidRPr="003907EB" w:rsidRDefault="00B12C57" w:rsidP="003907EB">
      <w:pPr>
        <w:ind w:right="309"/>
        <w:jc w:val="both"/>
        <w:rPr>
          <w:sz w:val="18"/>
          <w:szCs w:val="18"/>
        </w:rPr>
      </w:pPr>
    </w:p>
    <w:p w:rsidR="00E346CE" w:rsidRDefault="00E346CE">
      <w:pPr>
        <w:jc w:val="both"/>
        <w:rPr>
          <w:sz w:val="18"/>
        </w:rPr>
      </w:pPr>
    </w:p>
    <w:p w:rsidR="00E6335D" w:rsidRPr="001F38EC" w:rsidRDefault="00E6335D"/>
    <w:sectPr w:rsidR="00E6335D" w:rsidRPr="001F38EC">
      <w:pgSz w:w="11910" w:h="16840"/>
      <w:pgMar w:top="840" w:right="620" w:bottom="280" w:left="12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4189B"/>
    <w:multiLevelType w:val="hybridMultilevel"/>
    <w:tmpl w:val="5E485B7E"/>
    <w:lvl w:ilvl="0" w:tplc="7430B700">
      <w:start w:val="1"/>
      <w:numFmt w:val="decimal"/>
      <w:lvlText w:val="%1."/>
      <w:lvlJc w:val="left"/>
      <w:pPr>
        <w:ind w:left="211" w:hanging="211"/>
        <w:jc w:val="left"/>
      </w:pPr>
      <w:rPr>
        <w:rFonts w:ascii="Times New Roman" w:eastAsia="Times New Roman" w:hAnsi="Times New Roman" w:cs="Times New Roman" w:hint="default"/>
        <w:b/>
        <w:bCs/>
        <w:w w:val="101"/>
        <w:sz w:val="18"/>
        <w:szCs w:val="18"/>
        <w:lang w:val="uk-UA" w:eastAsia="en-US" w:bidi="ar-SA"/>
      </w:rPr>
    </w:lvl>
    <w:lvl w:ilvl="1" w:tplc="F8DCC57E">
      <w:numFmt w:val="bullet"/>
      <w:lvlText w:val="•"/>
      <w:lvlJc w:val="left"/>
      <w:pPr>
        <w:ind w:left="1206" w:hanging="211"/>
      </w:pPr>
      <w:rPr>
        <w:rFonts w:hint="default"/>
        <w:lang w:val="uk-UA" w:eastAsia="en-US" w:bidi="ar-SA"/>
      </w:rPr>
    </w:lvl>
    <w:lvl w:ilvl="2" w:tplc="F3EC5E04">
      <w:numFmt w:val="bullet"/>
      <w:lvlText w:val="•"/>
      <w:lvlJc w:val="left"/>
      <w:pPr>
        <w:ind w:left="2192" w:hanging="211"/>
      </w:pPr>
      <w:rPr>
        <w:rFonts w:hint="default"/>
        <w:lang w:val="uk-UA" w:eastAsia="en-US" w:bidi="ar-SA"/>
      </w:rPr>
    </w:lvl>
    <w:lvl w:ilvl="3" w:tplc="42563F52">
      <w:numFmt w:val="bullet"/>
      <w:lvlText w:val="•"/>
      <w:lvlJc w:val="left"/>
      <w:pPr>
        <w:ind w:left="3179" w:hanging="211"/>
      </w:pPr>
      <w:rPr>
        <w:rFonts w:hint="default"/>
        <w:lang w:val="uk-UA" w:eastAsia="en-US" w:bidi="ar-SA"/>
      </w:rPr>
    </w:lvl>
    <w:lvl w:ilvl="4" w:tplc="8C700E9E">
      <w:numFmt w:val="bullet"/>
      <w:lvlText w:val="•"/>
      <w:lvlJc w:val="left"/>
      <w:pPr>
        <w:ind w:left="4165" w:hanging="211"/>
      </w:pPr>
      <w:rPr>
        <w:rFonts w:hint="default"/>
        <w:lang w:val="uk-UA" w:eastAsia="en-US" w:bidi="ar-SA"/>
      </w:rPr>
    </w:lvl>
    <w:lvl w:ilvl="5" w:tplc="14A663EE">
      <w:numFmt w:val="bullet"/>
      <w:lvlText w:val="•"/>
      <w:lvlJc w:val="left"/>
      <w:pPr>
        <w:ind w:left="5152" w:hanging="211"/>
      </w:pPr>
      <w:rPr>
        <w:rFonts w:hint="default"/>
        <w:lang w:val="uk-UA" w:eastAsia="en-US" w:bidi="ar-SA"/>
      </w:rPr>
    </w:lvl>
    <w:lvl w:ilvl="6" w:tplc="2940F84E">
      <w:numFmt w:val="bullet"/>
      <w:lvlText w:val="•"/>
      <w:lvlJc w:val="left"/>
      <w:pPr>
        <w:ind w:left="6138" w:hanging="211"/>
      </w:pPr>
      <w:rPr>
        <w:rFonts w:hint="default"/>
        <w:lang w:val="uk-UA" w:eastAsia="en-US" w:bidi="ar-SA"/>
      </w:rPr>
    </w:lvl>
    <w:lvl w:ilvl="7" w:tplc="60CCDEEA">
      <w:numFmt w:val="bullet"/>
      <w:lvlText w:val="•"/>
      <w:lvlJc w:val="left"/>
      <w:pPr>
        <w:ind w:left="7124" w:hanging="211"/>
      </w:pPr>
      <w:rPr>
        <w:rFonts w:hint="default"/>
        <w:lang w:val="uk-UA" w:eastAsia="en-US" w:bidi="ar-SA"/>
      </w:rPr>
    </w:lvl>
    <w:lvl w:ilvl="8" w:tplc="419C7096">
      <w:numFmt w:val="bullet"/>
      <w:lvlText w:val="•"/>
      <w:lvlJc w:val="left"/>
      <w:pPr>
        <w:ind w:left="8111" w:hanging="211"/>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31D5E"/>
    <w:rsid w:val="00010D18"/>
    <w:rsid w:val="000A45C9"/>
    <w:rsid w:val="00144E9A"/>
    <w:rsid w:val="001609FF"/>
    <w:rsid w:val="001F38EC"/>
    <w:rsid w:val="00221320"/>
    <w:rsid w:val="002503B4"/>
    <w:rsid w:val="002B2A27"/>
    <w:rsid w:val="002D40D0"/>
    <w:rsid w:val="00352203"/>
    <w:rsid w:val="00380332"/>
    <w:rsid w:val="003907EB"/>
    <w:rsid w:val="003B78BD"/>
    <w:rsid w:val="003F6AC8"/>
    <w:rsid w:val="004012F1"/>
    <w:rsid w:val="00450704"/>
    <w:rsid w:val="004627E7"/>
    <w:rsid w:val="005B061B"/>
    <w:rsid w:val="0065658E"/>
    <w:rsid w:val="007F0707"/>
    <w:rsid w:val="00870A3A"/>
    <w:rsid w:val="009B053F"/>
    <w:rsid w:val="00A14BEC"/>
    <w:rsid w:val="00A33612"/>
    <w:rsid w:val="00A35C75"/>
    <w:rsid w:val="00A41DE5"/>
    <w:rsid w:val="00AC4168"/>
    <w:rsid w:val="00B12C57"/>
    <w:rsid w:val="00B57FD2"/>
    <w:rsid w:val="00BB0013"/>
    <w:rsid w:val="00C00471"/>
    <w:rsid w:val="00C84AEE"/>
    <w:rsid w:val="00CA30A6"/>
    <w:rsid w:val="00CB38B6"/>
    <w:rsid w:val="00CF2ECD"/>
    <w:rsid w:val="00D2198E"/>
    <w:rsid w:val="00D31D5E"/>
    <w:rsid w:val="00D40909"/>
    <w:rsid w:val="00D5517D"/>
    <w:rsid w:val="00D82034"/>
    <w:rsid w:val="00DE5CE1"/>
    <w:rsid w:val="00E346CE"/>
    <w:rsid w:val="00E6335D"/>
    <w:rsid w:val="00E847E9"/>
    <w:rsid w:val="00EC36D9"/>
    <w:rsid w:val="00FE21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18"/>
      <w:szCs w:val="18"/>
    </w:rPr>
  </w:style>
  <w:style w:type="paragraph" w:styleId="a4">
    <w:name w:val="List Paragraph"/>
    <w:basedOn w:val="a"/>
    <w:uiPriority w:val="1"/>
    <w:qFormat/>
    <w:pPr>
      <w:ind w:left="216"/>
      <w:jc w:val="both"/>
    </w:pPr>
  </w:style>
  <w:style w:type="paragraph" w:customStyle="1" w:styleId="TableParagraph">
    <w:name w:val="Table Paragraph"/>
    <w:basedOn w:val="a"/>
    <w:uiPriority w:val="1"/>
    <w:qFormat/>
    <w:pPr>
      <w:ind w:left="109"/>
    </w:pPr>
  </w:style>
  <w:style w:type="character" w:styleId="a5">
    <w:name w:val="Hyperlink"/>
    <w:uiPriority w:val="99"/>
    <w:unhideWhenUsed/>
    <w:rsid w:val="00B12C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b/>
      <w:bCs/>
      <w:sz w:val="18"/>
      <w:szCs w:val="18"/>
    </w:rPr>
  </w:style>
  <w:style w:type="paragraph" w:styleId="a4">
    <w:name w:val="List Paragraph"/>
    <w:basedOn w:val="a"/>
    <w:uiPriority w:val="1"/>
    <w:qFormat/>
    <w:pPr>
      <w:ind w:left="216"/>
      <w:jc w:val="both"/>
    </w:pPr>
  </w:style>
  <w:style w:type="paragraph" w:customStyle="1" w:styleId="TableParagraph">
    <w:name w:val="Table Paragraph"/>
    <w:basedOn w:val="a"/>
    <w:uiPriority w:val="1"/>
    <w:qFormat/>
    <w:pPr>
      <w:ind w:left="109"/>
    </w:pPr>
  </w:style>
  <w:style w:type="character" w:styleId="a5">
    <w:name w:val="Hyperlink"/>
    <w:uiPriority w:val="99"/>
    <w:unhideWhenUsed/>
    <w:rsid w:val="00B12C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editeurope.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2566</Words>
  <Characters>1463</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Credit Europe Bank Ukraine</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 SHPYLYAK</dc:creator>
  <cp:lastModifiedBy>Igor KONDRASHYN</cp:lastModifiedBy>
  <cp:revision>4</cp:revision>
  <cp:lastPrinted>2022-02-23T11:48:00Z</cp:lastPrinted>
  <dcterms:created xsi:type="dcterms:W3CDTF">2022-02-23T11:48:00Z</dcterms:created>
  <dcterms:modified xsi:type="dcterms:W3CDTF">2022-02-23T11:50:00Z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Microsoft® Word 2010</vt:lpwstr>
  </property>
  <property fmtid="{D5CDD505-2E9C-101B-9397-08002B2CF9AE}" pid="4" name="LastSaved">
    <vt:filetime>2021-06-14T00:00:00Z</vt:filetime>
  </property>
</Properties>
</file>